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CF273" w14:textId="77777777" w:rsidR="00C623E0" w:rsidRDefault="00C623E0" w:rsidP="00C623E0">
      <w:pPr>
        <w:pStyle w:val="normal0"/>
        <w:jc w:val="center"/>
      </w:pPr>
    </w:p>
    <w:p w14:paraId="510E053C" w14:textId="77777777" w:rsidR="00C623E0" w:rsidRDefault="00C623E0" w:rsidP="00C623E0">
      <w:pPr>
        <w:pStyle w:val="normal0"/>
        <w:jc w:val="center"/>
      </w:pPr>
    </w:p>
    <w:p w14:paraId="21EBB85F" w14:textId="77777777" w:rsidR="00C623E0" w:rsidRDefault="00C623E0" w:rsidP="00C623E0">
      <w:pPr>
        <w:pStyle w:val="normal0"/>
        <w:jc w:val="center"/>
      </w:pPr>
      <w:r>
        <w:rPr>
          <w:noProof/>
        </w:rPr>
        <w:drawing>
          <wp:inline distT="0" distB="0" distL="114300" distR="114300" wp14:anchorId="2C304A35" wp14:editId="539B9830">
            <wp:extent cx="7433945" cy="15144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7433945" cy="1514475"/>
                    </a:xfrm>
                    <a:prstGeom prst="rect">
                      <a:avLst/>
                    </a:prstGeom>
                    <a:ln/>
                  </pic:spPr>
                </pic:pic>
              </a:graphicData>
            </a:graphic>
          </wp:inline>
        </w:drawing>
      </w:r>
    </w:p>
    <w:p w14:paraId="6B0CEBBA" w14:textId="77777777" w:rsidR="00C623E0" w:rsidRDefault="00C623E0" w:rsidP="00C623E0">
      <w:pPr>
        <w:pStyle w:val="normal0"/>
        <w:jc w:val="center"/>
      </w:pPr>
    </w:p>
    <w:p w14:paraId="69BC28E4" w14:textId="77777777" w:rsidR="00C623E0" w:rsidRDefault="00C623E0" w:rsidP="00C623E0">
      <w:pPr>
        <w:pStyle w:val="normal0"/>
        <w:jc w:val="center"/>
      </w:pPr>
    </w:p>
    <w:p w14:paraId="7279A970" w14:textId="77777777" w:rsidR="00C623E0" w:rsidRDefault="00C623E0" w:rsidP="00C623E0">
      <w:pPr>
        <w:pStyle w:val="normal0"/>
        <w:jc w:val="center"/>
      </w:pPr>
      <w:r>
        <w:rPr>
          <w:rFonts w:ascii="Arial" w:eastAsia="Arial" w:hAnsi="Arial" w:cs="Arial"/>
          <w:b/>
          <w:sz w:val="44"/>
          <w:szCs w:val="44"/>
        </w:rPr>
        <w:t>Grant Application Guidelines</w:t>
      </w:r>
    </w:p>
    <w:p w14:paraId="40661C22" w14:textId="77777777" w:rsidR="00C623E0" w:rsidRDefault="00C623E0" w:rsidP="00C623E0">
      <w:pPr>
        <w:pStyle w:val="normal0"/>
      </w:pPr>
    </w:p>
    <w:p w14:paraId="2852144D" w14:textId="77777777" w:rsidR="00C623E0" w:rsidRDefault="00C623E0" w:rsidP="00C623E0">
      <w:pPr>
        <w:pStyle w:val="normal0"/>
      </w:pPr>
    </w:p>
    <w:p w14:paraId="6FE1A08B" w14:textId="77777777" w:rsidR="00C623E0" w:rsidRDefault="00C623E0" w:rsidP="00C623E0">
      <w:pPr>
        <w:pStyle w:val="normal0"/>
      </w:pPr>
    </w:p>
    <w:p w14:paraId="3DD8D4C8" w14:textId="77777777" w:rsidR="00C623E0" w:rsidRDefault="00C623E0" w:rsidP="00C623E0">
      <w:pPr>
        <w:pStyle w:val="normal0"/>
      </w:pPr>
      <w:r>
        <w:rPr>
          <w:rFonts w:ascii="Arial" w:eastAsia="Arial" w:hAnsi="Arial" w:cs="Arial"/>
          <w:b/>
          <w:sz w:val="32"/>
          <w:szCs w:val="32"/>
        </w:rPr>
        <w:t>Mission Statement:</w:t>
      </w:r>
    </w:p>
    <w:p w14:paraId="4267BFDE" w14:textId="77777777" w:rsidR="00C623E0" w:rsidRDefault="00C623E0" w:rsidP="00C623E0">
      <w:pPr>
        <w:pStyle w:val="normal0"/>
        <w:spacing w:before="100" w:after="100"/>
      </w:pPr>
      <w:r>
        <w:rPr>
          <w:rFonts w:ascii="Arial" w:eastAsia="Arial" w:hAnsi="Arial" w:cs="Arial"/>
          <w:b/>
          <w:sz w:val="32"/>
          <w:szCs w:val="32"/>
        </w:rPr>
        <w:tab/>
      </w:r>
      <w:r>
        <w:rPr>
          <w:rFonts w:ascii="Arial" w:eastAsia="Arial" w:hAnsi="Arial" w:cs="Arial"/>
          <w:sz w:val="32"/>
          <w:szCs w:val="32"/>
        </w:rPr>
        <w:t>The mission of The Education Foundation of the Forest Lake Area (TEFFLA), a nonprofit organization developed exclusively for charitable and educational purposes, is to support education and community activities that benefit our youth, teachers, programs and communities. The Foundation's efforts will bring the resources of the community, private sector and school system together as a partnership to generate an endowment fund. The development of an endowment fund will enhance the Forest Lake Area Schools' Community by:</w:t>
      </w:r>
    </w:p>
    <w:p w14:paraId="21387EDE" w14:textId="77777777" w:rsidR="00C623E0" w:rsidRDefault="00C623E0" w:rsidP="00C623E0">
      <w:pPr>
        <w:pStyle w:val="normal0"/>
        <w:spacing w:before="100" w:after="100"/>
      </w:pPr>
    </w:p>
    <w:p w14:paraId="0F67CE9D" w14:textId="77777777" w:rsidR="00C623E0" w:rsidRDefault="00C623E0" w:rsidP="00C623E0">
      <w:pPr>
        <w:pStyle w:val="normal0"/>
        <w:numPr>
          <w:ilvl w:val="0"/>
          <w:numId w:val="2"/>
        </w:numPr>
        <w:spacing w:after="280"/>
        <w:ind w:hanging="360"/>
        <w:rPr>
          <w:sz w:val="32"/>
          <w:szCs w:val="32"/>
        </w:rPr>
      </w:pPr>
      <w:r>
        <w:rPr>
          <w:rFonts w:ascii="Arial" w:eastAsia="Arial" w:hAnsi="Arial" w:cs="Arial"/>
          <w:sz w:val="32"/>
          <w:szCs w:val="32"/>
        </w:rPr>
        <w:t>Investing in initiatives that enhanc</w:t>
      </w:r>
      <w:r w:rsidR="00C1569B">
        <w:rPr>
          <w:rFonts w:ascii="Arial" w:eastAsia="Arial" w:hAnsi="Arial" w:cs="Arial"/>
          <w:sz w:val="32"/>
          <w:szCs w:val="32"/>
        </w:rPr>
        <w:t xml:space="preserve">e our communities' educational </w:t>
      </w:r>
      <w:r>
        <w:rPr>
          <w:rFonts w:ascii="Arial" w:eastAsia="Arial" w:hAnsi="Arial" w:cs="Arial"/>
          <w:sz w:val="32"/>
          <w:szCs w:val="32"/>
        </w:rPr>
        <w:t>opportunities;</w:t>
      </w:r>
    </w:p>
    <w:p w14:paraId="1C6E06D9" w14:textId="77777777" w:rsidR="00C623E0" w:rsidRDefault="00C623E0" w:rsidP="00C623E0">
      <w:pPr>
        <w:pStyle w:val="normal0"/>
        <w:numPr>
          <w:ilvl w:val="0"/>
          <w:numId w:val="2"/>
        </w:numPr>
        <w:spacing w:after="280"/>
        <w:ind w:hanging="360"/>
        <w:rPr>
          <w:sz w:val="32"/>
          <w:szCs w:val="32"/>
        </w:rPr>
      </w:pPr>
      <w:r>
        <w:rPr>
          <w:rFonts w:ascii="Arial" w:eastAsia="Arial" w:hAnsi="Arial" w:cs="Arial"/>
          <w:sz w:val="32"/>
          <w:szCs w:val="32"/>
        </w:rPr>
        <w:t>Awarding grants and providing</w:t>
      </w:r>
      <w:r w:rsidR="00C1569B">
        <w:rPr>
          <w:rFonts w:ascii="Arial" w:eastAsia="Arial" w:hAnsi="Arial" w:cs="Arial"/>
          <w:sz w:val="32"/>
          <w:szCs w:val="32"/>
        </w:rPr>
        <w:t xml:space="preserve"> assistance to individuals and </w:t>
      </w:r>
      <w:r>
        <w:rPr>
          <w:rFonts w:ascii="Arial" w:eastAsia="Arial" w:hAnsi="Arial" w:cs="Arial"/>
          <w:sz w:val="32"/>
          <w:szCs w:val="32"/>
        </w:rPr>
        <w:t>programs, and;</w:t>
      </w:r>
    </w:p>
    <w:p w14:paraId="440973F2" w14:textId="77777777" w:rsidR="00C623E0" w:rsidRDefault="00C623E0" w:rsidP="00C623E0">
      <w:pPr>
        <w:pStyle w:val="normal0"/>
        <w:numPr>
          <w:ilvl w:val="0"/>
          <w:numId w:val="2"/>
        </w:numPr>
        <w:spacing w:after="280"/>
        <w:ind w:hanging="360"/>
        <w:rPr>
          <w:sz w:val="32"/>
          <w:szCs w:val="32"/>
        </w:rPr>
      </w:pPr>
      <w:r>
        <w:rPr>
          <w:rFonts w:ascii="Arial" w:eastAsia="Arial" w:hAnsi="Arial" w:cs="Arial"/>
          <w:sz w:val="32"/>
          <w:szCs w:val="32"/>
        </w:rPr>
        <w:t>Supporting ideas that p</w:t>
      </w:r>
      <w:r w:rsidR="00C1569B">
        <w:rPr>
          <w:rFonts w:ascii="Arial" w:eastAsia="Arial" w:hAnsi="Arial" w:cs="Arial"/>
          <w:sz w:val="32"/>
          <w:szCs w:val="32"/>
        </w:rPr>
        <w:t xml:space="preserve">romote innovation and academic </w:t>
      </w:r>
      <w:bookmarkStart w:id="0" w:name="_GoBack"/>
      <w:bookmarkEnd w:id="0"/>
      <w:r>
        <w:rPr>
          <w:rFonts w:ascii="Arial" w:eastAsia="Arial" w:hAnsi="Arial" w:cs="Arial"/>
          <w:sz w:val="32"/>
          <w:szCs w:val="32"/>
        </w:rPr>
        <w:t>excellence.</w:t>
      </w:r>
    </w:p>
    <w:p w14:paraId="39B1DED6" w14:textId="77777777" w:rsidR="00C623E0" w:rsidRDefault="00C623E0" w:rsidP="00C623E0">
      <w:pPr>
        <w:pStyle w:val="normal0"/>
      </w:pPr>
    </w:p>
    <w:p w14:paraId="77BE7C00" w14:textId="77777777" w:rsidR="00C623E0" w:rsidRDefault="00C623E0" w:rsidP="00C623E0">
      <w:pPr>
        <w:pStyle w:val="normal0"/>
      </w:pPr>
      <w:r>
        <w:rPr>
          <w:rFonts w:ascii="Arial" w:eastAsia="Arial" w:hAnsi="Arial" w:cs="Arial"/>
          <w:b/>
          <w:sz w:val="28"/>
          <w:szCs w:val="28"/>
        </w:rPr>
        <w:lastRenderedPageBreak/>
        <w:t>Grant Eligibility Criteria and Guidelines:</w:t>
      </w:r>
    </w:p>
    <w:p w14:paraId="61A7F80B" w14:textId="77777777" w:rsidR="00C623E0" w:rsidRDefault="00C623E0" w:rsidP="00C623E0">
      <w:pPr>
        <w:pStyle w:val="normal0"/>
      </w:pPr>
    </w:p>
    <w:p w14:paraId="03E3BB81" w14:textId="77777777" w:rsidR="00C623E0" w:rsidRDefault="00C623E0" w:rsidP="00C623E0">
      <w:pPr>
        <w:pStyle w:val="normal0"/>
      </w:pPr>
      <w:r>
        <w:rPr>
          <w:rFonts w:ascii="Arial" w:eastAsia="Arial" w:hAnsi="Arial" w:cs="Arial"/>
          <w:b/>
          <w:sz w:val="28"/>
          <w:szCs w:val="28"/>
        </w:rPr>
        <w:t>The Education Foundation of the Forest Lake Area (TEFFLA) funds projects that:</w:t>
      </w:r>
    </w:p>
    <w:p w14:paraId="529D00DB" w14:textId="77777777" w:rsidR="00C623E0" w:rsidRDefault="00C623E0" w:rsidP="00C623E0">
      <w:pPr>
        <w:pStyle w:val="normal0"/>
        <w:numPr>
          <w:ilvl w:val="0"/>
          <w:numId w:val="3"/>
        </w:numPr>
        <w:ind w:hanging="360"/>
        <w:rPr>
          <w:sz w:val="28"/>
          <w:szCs w:val="28"/>
        </w:rPr>
      </w:pPr>
      <w:r>
        <w:rPr>
          <w:rFonts w:ascii="Arial" w:eastAsia="Arial" w:hAnsi="Arial" w:cs="Arial"/>
          <w:sz w:val="28"/>
          <w:szCs w:val="28"/>
        </w:rPr>
        <w:t>Are innovative and enrich or supplement teaching efforts/learning activities that directly benefit individuals and/or programs.</w:t>
      </w:r>
    </w:p>
    <w:p w14:paraId="6C36A5DA" w14:textId="77777777" w:rsidR="00C623E0" w:rsidRDefault="00C623E0" w:rsidP="00C623E0">
      <w:pPr>
        <w:pStyle w:val="normal0"/>
        <w:numPr>
          <w:ilvl w:val="0"/>
          <w:numId w:val="3"/>
        </w:numPr>
        <w:ind w:hanging="360"/>
        <w:rPr>
          <w:sz w:val="28"/>
          <w:szCs w:val="28"/>
        </w:rPr>
      </w:pPr>
      <w:r>
        <w:rPr>
          <w:rFonts w:ascii="Arial" w:eastAsia="Arial" w:hAnsi="Arial" w:cs="Arial"/>
          <w:sz w:val="28"/>
          <w:szCs w:val="28"/>
        </w:rPr>
        <w:t>Develop learning opportunities not usually possible within the normal budgets.</w:t>
      </w:r>
    </w:p>
    <w:p w14:paraId="0785834D" w14:textId="77777777" w:rsidR="00C623E0" w:rsidRDefault="00C623E0" w:rsidP="00C623E0">
      <w:pPr>
        <w:pStyle w:val="normal0"/>
        <w:numPr>
          <w:ilvl w:val="0"/>
          <w:numId w:val="3"/>
        </w:numPr>
        <w:ind w:hanging="360"/>
        <w:rPr>
          <w:sz w:val="28"/>
          <w:szCs w:val="28"/>
        </w:rPr>
      </w:pPr>
      <w:r>
        <w:rPr>
          <w:rFonts w:ascii="Arial" w:eastAsia="Arial" w:hAnsi="Arial" w:cs="Arial"/>
          <w:sz w:val="28"/>
          <w:szCs w:val="28"/>
        </w:rPr>
        <w:t>Are clearly defined and have clearly stated purposes, outcomes, methods and procedures.</w:t>
      </w:r>
    </w:p>
    <w:p w14:paraId="280AD20D" w14:textId="77777777" w:rsidR="00C623E0" w:rsidRDefault="00C623E0" w:rsidP="00C623E0">
      <w:pPr>
        <w:pStyle w:val="normal0"/>
        <w:numPr>
          <w:ilvl w:val="0"/>
          <w:numId w:val="3"/>
        </w:numPr>
        <w:ind w:hanging="360"/>
        <w:rPr>
          <w:sz w:val="28"/>
          <w:szCs w:val="28"/>
        </w:rPr>
      </w:pPr>
      <w:r>
        <w:rPr>
          <w:rFonts w:ascii="Arial" w:eastAsia="Arial" w:hAnsi="Arial" w:cs="Arial"/>
          <w:sz w:val="28"/>
          <w:szCs w:val="28"/>
        </w:rPr>
        <w:t>Are realistic and educationally sound, with specific materials, resource personnel, tentative schedules and completion dates.</w:t>
      </w:r>
    </w:p>
    <w:p w14:paraId="42291596" w14:textId="77777777" w:rsidR="00C623E0" w:rsidRDefault="00C623E0" w:rsidP="00C623E0">
      <w:pPr>
        <w:pStyle w:val="normal0"/>
        <w:numPr>
          <w:ilvl w:val="0"/>
          <w:numId w:val="3"/>
        </w:numPr>
        <w:ind w:hanging="360"/>
        <w:rPr>
          <w:sz w:val="28"/>
          <w:szCs w:val="28"/>
        </w:rPr>
      </w:pPr>
      <w:r>
        <w:rPr>
          <w:rFonts w:ascii="Arial" w:eastAsia="Arial" w:hAnsi="Arial" w:cs="Arial"/>
          <w:sz w:val="28"/>
          <w:szCs w:val="28"/>
        </w:rPr>
        <w:t>Include an evaluation and reporting plan focusing on achievement of designated outcomes suitable to the nature of the project.</w:t>
      </w:r>
    </w:p>
    <w:p w14:paraId="3D2E05AB" w14:textId="77777777" w:rsidR="00C623E0" w:rsidRDefault="00C623E0" w:rsidP="00C623E0">
      <w:pPr>
        <w:pStyle w:val="normal0"/>
        <w:numPr>
          <w:ilvl w:val="0"/>
          <w:numId w:val="3"/>
        </w:numPr>
        <w:ind w:hanging="360"/>
        <w:rPr>
          <w:sz w:val="28"/>
          <w:szCs w:val="28"/>
        </w:rPr>
      </w:pPr>
      <w:r>
        <w:rPr>
          <w:rFonts w:ascii="Arial" w:eastAsia="Arial" w:hAnsi="Arial" w:cs="Arial"/>
          <w:sz w:val="28"/>
          <w:szCs w:val="28"/>
        </w:rPr>
        <w:t>Include a budget request that is reasonable, sufficiently detailed and lists other sources of income, if any.</w:t>
      </w:r>
    </w:p>
    <w:p w14:paraId="299C335C" w14:textId="77777777" w:rsidR="00C623E0" w:rsidRDefault="00C623E0" w:rsidP="00C623E0">
      <w:pPr>
        <w:pStyle w:val="normal0"/>
      </w:pPr>
    </w:p>
    <w:p w14:paraId="686B19C6" w14:textId="77777777" w:rsidR="00C623E0" w:rsidRDefault="00C623E0" w:rsidP="00C623E0">
      <w:pPr>
        <w:pStyle w:val="normal0"/>
      </w:pPr>
      <w:r>
        <w:rPr>
          <w:rFonts w:ascii="Arial" w:eastAsia="Arial" w:hAnsi="Arial" w:cs="Arial"/>
          <w:b/>
          <w:sz w:val="28"/>
          <w:szCs w:val="28"/>
        </w:rPr>
        <w:t>Preference will be given to projects that:</w:t>
      </w:r>
    </w:p>
    <w:p w14:paraId="6FC8BA76" w14:textId="77777777" w:rsidR="00C623E0" w:rsidRDefault="00C623E0" w:rsidP="00C623E0">
      <w:pPr>
        <w:pStyle w:val="normal0"/>
        <w:numPr>
          <w:ilvl w:val="0"/>
          <w:numId w:val="4"/>
        </w:numPr>
        <w:ind w:hanging="360"/>
        <w:rPr>
          <w:sz w:val="28"/>
          <w:szCs w:val="28"/>
        </w:rPr>
      </w:pPr>
      <w:r>
        <w:rPr>
          <w:rFonts w:ascii="Arial" w:eastAsia="Arial" w:hAnsi="Arial" w:cs="Arial"/>
          <w:sz w:val="28"/>
          <w:szCs w:val="28"/>
        </w:rPr>
        <w:t xml:space="preserve">Have unique or innovative components. </w:t>
      </w:r>
    </w:p>
    <w:p w14:paraId="02A6328A" w14:textId="77777777" w:rsidR="00C623E0" w:rsidRDefault="00C623E0" w:rsidP="00C623E0">
      <w:pPr>
        <w:pStyle w:val="normal0"/>
        <w:numPr>
          <w:ilvl w:val="0"/>
          <w:numId w:val="4"/>
        </w:numPr>
        <w:ind w:hanging="360"/>
        <w:rPr>
          <w:sz w:val="28"/>
          <w:szCs w:val="28"/>
        </w:rPr>
      </w:pPr>
      <w:r>
        <w:rPr>
          <w:rFonts w:ascii="Arial" w:eastAsia="Arial" w:hAnsi="Arial" w:cs="Arial"/>
          <w:sz w:val="28"/>
          <w:szCs w:val="28"/>
        </w:rPr>
        <w:t>Are new and have never been funded through other means.</w:t>
      </w:r>
    </w:p>
    <w:p w14:paraId="3CED7A60" w14:textId="77777777" w:rsidR="00C623E0" w:rsidRDefault="00C623E0" w:rsidP="00C623E0">
      <w:pPr>
        <w:pStyle w:val="normal0"/>
        <w:numPr>
          <w:ilvl w:val="0"/>
          <w:numId w:val="4"/>
        </w:numPr>
        <w:ind w:hanging="360"/>
        <w:rPr>
          <w:sz w:val="28"/>
          <w:szCs w:val="28"/>
        </w:rPr>
      </w:pPr>
      <w:r>
        <w:rPr>
          <w:rFonts w:ascii="Arial" w:eastAsia="Arial" w:hAnsi="Arial" w:cs="Arial"/>
          <w:sz w:val="28"/>
          <w:szCs w:val="28"/>
        </w:rPr>
        <w:t>Require start-up support rather than ongoing funding (applicants may apply for additional funding in another calendar year, but should not rely on TEFFLA for any subsequent funding).</w:t>
      </w:r>
    </w:p>
    <w:p w14:paraId="7D7C8F16" w14:textId="77777777" w:rsidR="00C623E0" w:rsidRDefault="00C623E0" w:rsidP="00C623E0">
      <w:pPr>
        <w:pStyle w:val="normal0"/>
        <w:numPr>
          <w:ilvl w:val="0"/>
          <w:numId w:val="4"/>
        </w:numPr>
        <w:ind w:hanging="360"/>
        <w:rPr>
          <w:sz w:val="28"/>
          <w:szCs w:val="28"/>
        </w:rPr>
      </w:pPr>
      <w:r>
        <w:rPr>
          <w:rFonts w:ascii="Arial" w:eastAsia="Arial" w:hAnsi="Arial" w:cs="Arial"/>
          <w:sz w:val="28"/>
          <w:szCs w:val="28"/>
        </w:rPr>
        <w:t>Enhance the learning experience of individuals or participants in programs.</w:t>
      </w:r>
    </w:p>
    <w:p w14:paraId="2E8A4A83" w14:textId="77777777" w:rsidR="00C623E0" w:rsidRDefault="00C623E0" w:rsidP="00C623E0">
      <w:pPr>
        <w:pStyle w:val="normal0"/>
      </w:pPr>
    </w:p>
    <w:p w14:paraId="0A593F76" w14:textId="77777777" w:rsidR="00C623E0" w:rsidRDefault="00C623E0" w:rsidP="00C623E0">
      <w:pPr>
        <w:pStyle w:val="normal0"/>
      </w:pPr>
      <w:r>
        <w:rPr>
          <w:rFonts w:ascii="Arial" w:eastAsia="Arial" w:hAnsi="Arial" w:cs="Arial"/>
          <w:b/>
          <w:sz w:val="28"/>
          <w:szCs w:val="28"/>
        </w:rPr>
        <w:t>Projects are ineligible that:</w:t>
      </w:r>
    </w:p>
    <w:p w14:paraId="1CE44A5E" w14:textId="77777777" w:rsidR="00C623E0" w:rsidRDefault="00C623E0" w:rsidP="00C623E0">
      <w:pPr>
        <w:pStyle w:val="normal0"/>
        <w:numPr>
          <w:ilvl w:val="0"/>
          <w:numId w:val="1"/>
        </w:numPr>
        <w:ind w:hanging="360"/>
        <w:rPr>
          <w:sz w:val="28"/>
          <w:szCs w:val="28"/>
        </w:rPr>
      </w:pPr>
      <w:r>
        <w:rPr>
          <w:rFonts w:ascii="Arial" w:eastAsia="Arial" w:hAnsi="Arial" w:cs="Arial"/>
          <w:sz w:val="28"/>
          <w:szCs w:val="28"/>
        </w:rPr>
        <w:t>Involve the establishment of a permanent foundation or trust, or creation of a permanent interest-bearing account.</w:t>
      </w:r>
    </w:p>
    <w:p w14:paraId="7D05A9F9" w14:textId="77777777" w:rsidR="00C623E0" w:rsidRDefault="00C623E0" w:rsidP="00C623E0">
      <w:pPr>
        <w:pStyle w:val="normal0"/>
        <w:numPr>
          <w:ilvl w:val="0"/>
          <w:numId w:val="1"/>
        </w:numPr>
        <w:ind w:hanging="360"/>
        <w:rPr>
          <w:sz w:val="28"/>
          <w:szCs w:val="28"/>
        </w:rPr>
      </w:pPr>
      <w:r>
        <w:rPr>
          <w:rFonts w:ascii="Arial" w:eastAsia="Arial" w:hAnsi="Arial" w:cs="Arial"/>
          <w:sz w:val="28"/>
          <w:szCs w:val="28"/>
        </w:rPr>
        <w:t>Request funds for other organizations that are themselves fundraisers.</w:t>
      </w:r>
    </w:p>
    <w:p w14:paraId="5D56ADA4" w14:textId="77777777" w:rsidR="00C623E0" w:rsidRDefault="00C623E0" w:rsidP="00C623E0">
      <w:pPr>
        <w:pStyle w:val="normal0"/>
        <w:numPr>
          <w:ilvl w:val="0"/>
          <w:numId w:val="1"/>
        </w:numPr>
        <w:ind w:hanging="360"/>
        <w:rPr>
          <w:sz w:val="28"/>
          <w:szCs w:val="28"/>
        </w:rPr>
      </w:pPr>
      <w:r>
        <w:rPr>
          <w:rFonts w:ascii="Arial" w:eastAsia="Arial" w:hAnsi="Arial" w:cs="Arial"/>
          <w:sz w:val="28"/>
          <w:szCs w:val="28"/>
        </w:rPr>
        <w:t>Request funds for any political organization.</w:t>
      </w:r>
    </w:p>
    <w:p w14:paraId="615053E7" w14:textId="77777777" w:rsidR="00C623E0" w:rsidRDefault="00C623E0" w:rsidP="00C623E0">
      <w:pPr>
        <w:pStyle w:val="normal0"/>
        <w:numPr>
          <w:ilvl w:val="0"/>
          <w:numId w:val="1"/>
        </w:numPr>
        <w:ind w:hanging="360"/>
        <w:rPr>
          <w:sz w:val="28"/>
          <w:szCs w:val="28"/>
        </w:rPr>
      </w:pPr>
      <w:r>
        <w:rPr>
          <w:rFonts w:ascii="Arial" w:eastAsia="Arial" w:hAnsi="Arial" w:cs="Arial"/>
          <w:sz w:val="28"/>
          <w:szCs w:val="28"/>
        </w:rPr>
        <w:t>Include any liability for TEFFLA, except for the monetary amount of the grant.</w:t>
      </w:r>
    </w:p>
    <w:p w14:paraId="61AFB143" w14:textId="77777777" w:rsidR="006B20BC" w:rsidRDefault="006B20BC"/>
    <w:sectPr w:rsidR="006B20BC" w:rsidSect="00D041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Domine">
    <w:altName w:val="Times New Roman"/>
    <w:charset w:val="00"/>
    <w:family w:val="auto"/>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E0E"/>
    <w:multiLevelType w:val="multilevel"/>
    <w:tmpl w:val="5B2C3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4A41075"/>
    <w:multiLevelType w:val="multilevel"/>
    <w:tmpl w:val="351005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AD97AD6"/>
    <w:multiLevelType w:val="multilevel"/>
    <w:tmpl w:val="65BA08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7AA723E7"/>
    <w:multiLevelType w:val="multilevel"/>
    <w:tmpl w:val="000E8522"/>
    <w:lvl w:ilvl="0">
      <w:start w:val="1"/>
      <w:numFmt w:val="bullet"/>
      <w:lvlText w:val="●"/>
      <w:lvlJc w:val="left"/>
      <w:pPr>
        <w:ind w:left="510" w:firstLine="150"/>
      </w:pPr>
      <w:rPr>
        <w:rFonts w:ascii="Arial" w:eastAsia="Arial" w:hAnsi="Arial" w:cs="Arial"/>
        <w:vertAlign w:val="baseline"/>
      </w:rPr>
    </w:lvl>
    <w:lvl w:ilvl="1">
      <w:start w:val="1"/>
      <w:numFmt w:val="bullet"/>
      <w:lvlText w:val="o"/>
      <w:lvlJc w:val="left"/>
      <w:pPr>
        <w:ind w:left="1230" w:firstLine="870"/>
      </w:pPr>
      <w:rPr>
        <w:rFonts w:ascii="Arial" w:eastAsia="Arial" w:hAnsi="Arial" w:cs="Arial"/>
        <w:vertAlign w:val="baseline"/>
      </w:rPr>
    </w:lvl>
    <w:lvl w:ilvl="2">
      <w:start w:val="1"/>
      <w:numFmt w:val="bullet"/>
      <w:lvlText w:val="▪"/>
      <w:lvlJc w:val="left"/>
      <w:pPr>
        <w:ind w:left="1950" w:firstLine="1590"/>
      </w:pPr>
      <w:rPr>
        <w:rFonts w:ascii="Arial" w:eastAsia="Arial" w:hAnsi="Arial" w:cs="Arial"/>
        <w:vertAlign w:val="baseline"/>
      </w:rPr>
    </w:lvl>
    <w:lvl w:ilvl="3">
      <w:start w:val="1"/>
      <w:numFmt w:val="bullet"/>
      <w:lvlText w:val="●"/>
      <w:lvlJc w:val="left"/>
      <w:pPr>
        <w:ind w:left="2670" w:firstLine="2310"/>
      </w:pPr>
      <w:rPr>
        <w:rFonts w:ascii="Arial" w:eastAsia="Arial" w:hAnsi="Arial" w:cs="Arial"/>
        <w:vertAlign w:val="baseline"/>
      </w:rPr>
    </w:lvl>
    <w:lvl w:ilvl="4">
      <w:start w:val="1"/>
      <w:numFmt w:val="bullet"/>
      <w:lvlText w:val="o"/>
      <w:lvlJc w:val="left"/>
      <w:pPr>
        <w:ind w:left="3390" w:firstLine="3030"/>
      </w:pPr>
      <w:rPr>
        <w:rFonts w:ascii="Arial" w:eastAsia="Arial" w:hAnsi="Arial" w:cs="Arial"/>
        <w:vertAlign w:val="baseline"/>
      </w:rPr>
    </w:lvl>
    <w:lvl w:ilvl="5">
      <w:start w:val="1"/>
      <w:numFmt w:val="bullet"/>
      <w:lvlText w:val="▪"/>
      <w:lvlJc w:val="left"/>
      <w:pPr>
        <w:ind w:left="4110" w:firstLine="3750"/>
      </w:pPr>
      <w:rPr>
        <w:rFonts w:ascii="Arial" w:eastAsia="Arial" w:hAnsi="Arial" w:cs="Arial"/>
        <w:vertAlign w:val="baseline"/>
      </w:rPr>
    </w:lvl>
    <w:lvl w:ilvl="6">
      <w:start w:val="1"/>
      <w:numFmt w:val="bullet"/>
      <w:lvlText w:val="●"/>
      <w:lvlJc w:val="left"/>
      <w:pPr>
        <w:ind w:left="4830" w:firstLine="4470"/>
      </w:pPr>
      <w:rPr>
        <w:rFonts w:ascii="Arial" w:eastAsia="Arial" w:hAnsi="Arial" w:cs="Arial"/>
        <w:vertAlign w:val="baseline"/>
      </w:rPr>
    </w:lvl>
    <w:lvl w:ilvl="7">
      <w:start w:val="1"/>
      <w:numFmt w:val="bullet"/>
      <w:lvlText w:val="o"/>
      <w:lvlJc w:val="left"/>
      <w:pPr>
        <w:ind w:left="5550" w:firstLine="5190"/>
      </w:pPr>
      <w:rPr>
        <w:rFonts w:ascii="Arial" w:eastAsia="Arial" w:hAnsi="Arial" w:cs="Arial"/>
        <w:vertAlign w:val="baseline"/>
      </w:rPr>
    </w:lvl>
    <w:lvl w:ilvl="8">
      <w:start w:val="1"/>
      <w:numFmt w:val="bullet"/>
      <w:lvlText w:val="▪"/>
      <w:lvlJc w:val="left"/>
      <w:pPr>
        <w:ind w:left="6270" w:firstLine="5910"/>
      </w:pPr>
      <w:rPr>
        <w:rFonts w:ascii="Arial" w:eastAsia="Arial" w:hAnsi="Arial" w:cs="Arial"/>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E0"/>
    <w:rsid w:val="006B20BC"/>
    <w:rsid w:val="00C1569B"/>
    <w:rsid w:val="00C623E0"/>
    <w:rsid w:val="00D0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4C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23E0"/>
    <w:rPr>
      <w:rFonts w:ascii="Domine" w:eastAsia="Domine" w:hAnsi="Domine" w:cs="Domine"/>
      <w:color w:val="000000"/>
    </w:rPr>
  </w:style>
  <w:style w:type="paragraph" w:styleId="BalloonText">
    <w:name w:val="Balloon Text"/>
    <w:basedOn w:val="Normal"/>
    <w:link w:val="BalloonTextChar"/>
    <w:uiPriority w:val="99"/>
    <w:semiHidden/>
    <w:unhideWhenUsed/>
    <w:rsid w:val="00C62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3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623E0"/>
    <w:rPr>
      <w:rFonts w:ascii="Domine" w:eastAsia="Domine" w:hAnsi="Domine" w:cs="Domine"/>
      <w:color w:val="000000"/>
    </w:rPr>
  </w:style>
  <w:style w:type="paragraph" w:styleId="BalloonText">
    <w:name w:val="Balloon Text"/>
    <w:basedOn w:val="Normal"/>
    <w:link w:val="BalloonTextChar"/>
    <w:uiPriority w:val="99"/>
    <w:semiHidden/>
    <w:unhideWhenUsed/>
    <w:rsid w:val="00C62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3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1981</Characters>
  <Application>Microsoft Macintosh Word</Application>
  <DocSecurity>0</DocSecurity>
  <Lines>16</Lines>
  <Paragraphs>4</Paragraphs>
  <ScaleCrop>false</ScaleCrop>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2018-08-20T18:16:00Z</dcterms:created>
  <dcterms:modified xsi:type="dcterms:W3CDTF">2018-08-23T00:12:00Z</dcterms:modified>
</cp:coreProperties>
</file>